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36D16215"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D33441">
        <w:rPr>
          <w:rFonts w:cs="Arial"/>
          <w:bCs/>
          <w:iCs/>
          <w:sz w:val="26"/>
          <w:szCs w:val="26"/>
        </w:rPr>
        <w:t>406358</w:t>
      </w:r>
    </w:p>
    <w:p w14:paraId="7549600B" w14:textId="477B4367" w:rsidR="0054114D" w:rsidRDefault="001F23DF" w:rsidP="0031610F">
      <w:pPr>
        <w:pStyle w:val="3GPPHeader"/>
        <w:jc w:val="left"/>
        <w:rPr>
          <w:rFonts w:eastAsia="MS Mincho" w:cs="Arial"/>
        </w:rPr>
      </w:pPr>
      <w:bookmarkStart w:id="1" w:name="OLE_LINK171"/>
      <w:r w:rsidRPr="001F23DF">
        <w:rPr>
          <w:rFonts w:cs="Arial"/>
        </w:rPr>
        <w:t>Maastricht</w:t>
      </w:r>
      <w:r w:rsidR="00297DEE">
        <w:rPr>
          <w:rFonts w:cs="Arial"/>
        </w:rPr>
        <w:t xml:space="preserve">, </w:t>
      </w:r>
      <w:r>
        <w:rPr>
          <w:rFonts w:cs="Arial"/>
        </w:rPr>
        <w:t>N</w:t>
      </w:r>
      <w:r w:rsidR="007B5FC7">
        <w:rPr>
          <w:rFonts w:cs="Arial"/>
        </w:rPr>
        <w:t>etherlands</w:t>
      </w:r>
      <w:r w:rsidR="00297DEE">
        <w:rPr>
          <w:rFonts w:cs="Arial"/>
        </w:rPr>
        <w:t>,</w:t>
      </w:r>
      <w:bookmarkEnd w:id="1"/>
      <w:r w:rsidR="00297DEE">
        <w:rPr>
          <w:rFonts w:cs="Arial"/>
        </w:rPr>
        <w:t xml:space="preserve"> </w:t>
      </w:r>
      <w:r w:rsidR="008F492B">
        <w:rPr>
          <w:rFonts w:cs="Arial"/>
        </w:rPr>
        <w:t>Aug</w:t>
      </w:r>
      <w:r w:rsidR="00297DEE">
        <w:rPr>
          <w:rFonts w:cs="Arial"/>
        </w:rPr>
        <w:t xml:space="preserve"> </w:t>
      </w:r>
      <w:r w:rsidR="008F492B">
        <w:rPr>
          <w:rFonts w:cs="Arial"/>
        </w:rPr>
        <w:t>19</w:t>
      </w:r>
      <w:r w:rsidR="00941207" w:rsidRPr="00941207">
        <w:rPr>
          <w:rFonts w:cs="Arial"/>
          <w:vertAlign w:val="superscript"/>
        </w:rPr>
        <w:t>th</w:t>
      </w:r>
      <w:r w:rsidR="00941207">
        <w:rPr>
          <w:rFonts w:cs="Arial"/>
        </w:rPr>
        <w:t xml:space="preserve"> </w:t>
      </w:r>
      <w:r w:rsidR="00297DEE">
        <w:rPr>
          <w:rFonts w:cs="Arial"/>
        </w:rPr>
        <w:t xml:space="preserve">- </w:t>
      </w:r>
      <w:r w:rsidR="008F492B">
        <w:rPr>
          <w:rFonts w:cs="Arial"/>
        </w:rPr>
        <w:t>Aug</w:t>
      </w:r>
      <w:r w:rsidR="00297DEE">
        <w:rPr>
          <w:rFonts w:cs="Arial"/>
        </w:rPr>
        <w:t xml:space="preserve"> </w:t>
      </w:r>
      <w:r w:rsidR="00FF0146">
        <w:rPr>
          <w:rFonts w:cs="Arial"/>
        </w:rPr>
        <w:t>23</w:t>
      </w:r>
      <w:r w:rsidR="00FF0146" w:rsidRPr="00941207">
        <w:rPr>
          <w:rFonts w:cs="Arial"/>
          <w:vertAlign w:val="superscript"/>
        </w:rPr>
        <w:t>rd</w:t>
      </w:r>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77B35BA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315CF9">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1B4582E"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77350">
        <w:rPr>
          <w:rFonts w:cs="Arial"/>
          <w:sz w:val="22"/>
          <w:szCs w:val="22"/>
        </w:rPr>
        <w:t xml:space="preserve">Discussion on </w:t>
      </w:r>
      <w:r w:rsidR="00315CF9">
        <w:rPr>
          <w:rFonts w:cs="Arial" w:hint="eastAsia"/>
          <w:sz w:val="22"/>
          <w:szCs w:val="22"/>
        </w:rPr>
        <w:t>the</w:t>
      </w:r>
      <w:r w:rsidR="00315CF9">
        <w:rPr>
          <w:rFonts w:cs="Arial"/>
          <w:sz w:val="22"/>
          <w:szCs w:val="22"/>
        </w:rPr>
        <w:t xml:space="preserve"> </w:t>
      </w:r>
      <w:r w:rsidR="00315CF9">
        <w:rPr>
          <w:rFonts w:cs="Arial" w:hint="eastAsia"/>
          <w:sz w:val="22"/>
          <w:szCs w:val="22"/>
        </w:rPr>
        <w:t>measurement</w:t>
      </w:r>
      <w:r w:rsidR="00315CF9">
        <w:rPr>
          <w:rFonts w:cs="Arial"/>
          <w:sz w:val="22"/>
          <w:szCs w:val="22"/>
        </w:rPr>
        <w:t xml:space="preserve"> </w:t>
      </w:r>
      <w:r w:rsidR="00315CF9">
        <w:rPr>
          <w:rFonts w:cs="Arial" w:hint="eastAsia"/>
          <w:sz w:val="22"/>
          <w:szCs w:val="22"/>
        </w:rPr>
        <w:t>reporting</w:t>
      </w:r>
      <w:r w:rsidR="00315CF9">
        <w:rPr>
          <w:rFonts w:cs="Arial"/>
          <w:sz w:val="22"/>
          <w:szCs w:val="22"/>
        </w:rPr>
        <w:t xml:space="preserve"> </w:t>
      </w:r>
      <w:r w:rsidR="00315CF9">
        <w:rPr>
          <w:rFonts w:cs="Arial" w:hint="eastAsia"/>
          <w:sz w:val="22"/>
          <w:szCs w:val="22"/>
        </w:rPr>
        <w:t>of</w:t>
      </w:r>
      <w:r w:rsidR="00315CF9">
        <w:rPr>
          <w:rFonts w:cs="Arial"/>
          <w:sz w:val="22"/>
          <w:szCs w:val="22"/>
        </w:rPr>
        <w:t xml:space="preserve"> </w:t>
      </w:r>
      <w:r w:rsidR="001F5666">
        <w:rPr>
          <w:rFonts w:cs="Arial" w:hint="eastAsia"/>
          <w:sz w:val="22"/>
          <w:szCs w:val="22"/>
        </w:rPr>
        <w:t>event</w:t>
      </w:r>
      <w:r w:rsidR="001F5666">
        <w:rPr>
          <w:rFonts w:cs="Arial"/>
          <w:sz w:val="22"/>
          <w:szCs w:val="22"/>
        </w:rPr>
        <w:t xml:space="preserve"> </w:t>
      </w:r>
      <w:r w:rsidR="001F5666">
        <w:rPr>
          <w:rFonts w:cs="Arial" w:hint="eastAsia"/>
          <w:sz w:val="22"/>
          <w:szCs w:val="22"/>
        </w:rPr>
        <w:t>triggered</w:t>
      </w:r>
      <w:r w:rsidR="001F5666">
        <w:rPr>
          <w:rFonts w:cs="Arial"/>
          <w:sz w:val="22"/>
          <w:szCs w:val="22"/>
        </w:rPr>
        <w:t xml:space="preserve"> </w:t>
      </w:r>
      <w:r w:rsidR="001F5666">
        <w:rPr>
          <w:rFonts w:cs="Arial" w:hint="eastAsia"/>
          <w:sz w:val="22"/>
          <w:szCs w:val="22"/>
        </w:rPr>
        <w:t>L</w:t>
      </w:r>
      <w:r w:rsidR="001F5666">
        <w:rPr>
          <w:rFonts w:cs="Arial"/>
          <w:sz w:val="22"/>
          <w:szCs w:val="22"/>
        </w:rPr>
        <w:t xml:space="preserve">1 </w:t>
      </w:r>
      <w:r w:rsidR="00315CF9">
        <w:rPr>
          <w:rFonts w:cs="Arial" w:hint="eastAsia"/>
          <w:sz w:val="22"/>
          <w:szCs w:val="22"/>
        </w:rPr>
        <w:t>MR</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49BAC46" w14:textId="079A51B8" w:rsidR="00577350" w:rsidRPr="00577350" w:rsidRDefault="00941207" w:rsidP="00902DD8">
      <w:pPr>
        <w:snapToGrid w:val="0"/>
        <w:spacing w:before="120"/>
      </w:pPr>
      <w:r>
        <w:t>In the last meeting, RAN2 discuss</w:t>
      </w:r>
      <w:r w:rsidR="00B67C2C">
        <w:t>ed</w:t>
      </w:r>
      <w:r>
        <w:t xml:space="preserve"> several aspects </w:t>
      </w:r>
      <w:r w:rsidR="00EE470E">
        <w:t>for</w:t>
      </w:r>
      <w:r>
        <w:t xml:space="preserve"> </w:t>
      </w:r>
      <w:r w:rsidR="008E6075">
        <w:t xml:space="preserve">event triggered </w:t>
      </w:r>
      <w:r w:rsidR="008E6075">
        <w:rPr>
          <w:rFonts w:hint="eastAsia"/>
        </w:rPr>
        <w:t>L</w:t>
      </w:r>
      <w:r w:rsidR="008E6075">
        <w:t>1 measurement reporting</w:t>
      </w:r>
      <w:r w:rsidR="0006637E">
        <w:rPr>
          <w:rFonts w:hint="eastAsia"/>
        </w:rPr>
        <w:t>.</w:t>
      </w:r>
      <w:r w:rsidR="0006637E">
        <w:t xml:space="preserve"> </w:t>
      </w:r>
      <w:r w:rsidR="008F492B">
        <w:t xml:space="preserve">This contribution </w:t>
      </w:r>
      <w:r w:rsidR="008E6075">
        <w:t>focuses the discussion on the</w:t>
      </w:r>
      <w:r w:rsidR="0006637E">
        <w:t xml:space="preserve"> details of measurement reporting procedure, including what information in the measurement report, the need of multiple measurement reporting once triggering event is met.</w:t>
      </w:r>
      <w:r w:rsidR="00577350">
        <w:t xml:space="preserve">  </w:t>
      </w:r>
    </w:p>
    <w:p w14:paraId="5E65E5B9" w14:textId="073B7FCB" w:rsidR="00BB67DC" w:rsidRDefault="00BB67DC" w:rsidP="007D4A19">
      <w:pPr>
        <w:pStyle w:val="1"/>
        <w:ind w:hanging="792"/>
      </w:pPr>
      <w:r>
        <w:t>Discussion</w:t>
      </w:r>
    </w:p>
    <w:p w14:paraId="213BAF41" w14:textId="2C6C2C11" w:rsidR="008A05DB" w:rsidRDefault="007837AA" w:rsidP="00E51CE6">
      <w:pPr>
        <w:pStyle w:val="2"/>
      </w:pPr>
      <w:bookmarkStart w:id="2" w:name="OLE_LINK161"/>
      <w:bookmarkStart w:id="3" w:name="OLE_LINK20"/>
      <w:bookmarkStart w:id="4" w:name="OLE_LINK21"/>
      <w:r>
        <w:t>Report content</w:t>
      </w:r>
    </w:p>
    <w:p w14:paraId="4A17466B" w14:textId="452DF0E3" w:rsidR="007837AA" w:rsidRDefault="007837AA" w:rsidP="007837AA">
      <w:r>
        <w:t>In legacy L3 measurement report, the physical cell ID, measurement quantity, RS type and related RS index are involved.</w:t>
      </w:r>
      <w:r w:rsidRPr="007837AA">
        <w:t xml:space="preserve"> </w:t>
      </w:r>
      <w:r w:rsidR="005B19CC">
        <w:t xml:space="preserve">We can </w:t>
      </w:r>
      <w:r w:rsidR="004D6B9D">
        <w:rPr>
          <w:rFonts w:hint="eastAsia"/>
        </w:rPr>
        <w:t>consider</w:t>
      </w:r>
      <w:r w:rsidR="004D6B9D">
        <w:t xml:space="preserve"> </w:t>
      </w:r>
      <w:r w:rsidR="004D6B9D">
        <w:rPr>
          <w:rFonts w:hint="eastAsia"/>
        </w:rPr>
        <w:t>th</w:t>
      </w:r>
      <w:r w:rsidR="00D33441">
        <w:t>ese</w:t>
      </w:r>
      <w:r w:rsidR="004D6B9D">
        <w:t xml:space="preserve"> as starting point </w:t>
      </w:r>
      <w:r w:rsidR="005B19CC">
        <w:t xml:space="preserve">to </w:t>
      </w:r>
      <w:r w:rsidR="004D6B9D">
        <w:t>further discuss the component of the</w:t>
      </w:r>
      <w:r w:rsidR="00B60451">
        <w:t xml:space="preserve"> event triggered</w:t>
      </w:r>
      <w:r w:rsidR="004D6B9D">
        <w:t xml:space="preserve"> </w:t>
      </w:r>
      <w:r w:rsidR="005B19CC">
        <w:t>L1 measurement report.</w:t>
      </w:r>
    </w:p>
    <w:p w14:paraId="23163932" w14:textId="4DAE874E" w:rsidR="005B19CC" w:rsidRDefault="005B19CC" w:rsidP="004D6B9D">
      <w:pPr>
        <w:pStyle w:val="afa"/>
        <w:numPr>
          <w:ilvl w:val="0"/>
          <w:numId w:val="40"/>
        </w:numPr>
      </w:pPr>
      <w:r w:rsidRPr="008550F3">
        <w:rPr>
          <w:u w:val="single"/>
        </w:rPr>
        <w:t>Cell ID/Index</w:t>
      </w:r>
      <w:r>
        <w:t xml:space="preserve">: In Rel-18 LTM, the cell information is implicitly reported </w:t>
      </w:r>
      <w:r w:rsidR="004D6B9D">
        <w:t>by the SSBRI, which</w:t>
      </w:r>
      <w:r w:rsidR="008D3660">
        <w:t xml:space="preserve"> represents</w:t>
      </w:r>
      <w:r w:rsidR="004D6B9D">
        <w:t xml:space="preserve"> the index of the resource configuration. However, UE is still able to </w:t>
      </w:r>
      <w:r w:rsidR="008D3660">
        <w:t>calculate</w:t>
      </w:r>
      <w:r w:rsidR="004D6B9D">
        <w:t xml:space="preserve"> the specific </w:t>
      </w:r>
      <w:r w:rsidR="00A4352C">
        <w:t>p</w:t>
      </w:r>
      <w:r w:rsidR="004D6B9D">
        <w:t xml:space="preserve">hysical </w:t>
      </w:r>
      <w:r w:rsidR="00A4352C">
        <w:t xml:space="preserve">cell </w:t>
      </w:r>
      <w:r w:rsidR="004D6B9D">
        <w:t xml:space="preserve">ID </w:t>
      </w:r>
      <w:r w:rsidR="00B60451">
        <w:t xml:space="preserve">from PSS and SSS </w:t>
      </w:r>
      <w:r w:rsidR="004D6B9D">
        <w:t>when performing the measurement toward SSBs. For L1 MR in Rel-18, the network</w:t>
      </w:r>
      <w:r w:rsidR="004D6B9D" w:rsidRPr="004D6B9D">
        <w:t xml:space="preserve"> knows the cell corresponding to each </w:t>
      </w:r>
      <w:r w:rsidR="004D6B9D">
        <w:t xml:space="preserve">reported </w:t>
      </w:r>
      <w:r w:rsidR="00D33441">
        <w:t>RS index</w:t>
      </w:r>
      <w:r w:rsidR="004D6B9D">
        <w:t xml:space="preserve">. However, </w:t>
      </w:r>
      <w:r w:rsidR="00A4352C">
        <w:t xml:space="preserve">the event triggered L1 MR may contain measurement result filtered from different RS index </w:t>
      </w:r>
      <w:r w:rsidR="00D33441">
        <w:t>in</w:t>
      </w:r>
      <w:r w:rsidR="00A4352C">
        <w:t xml:space="preserve"> different MP. It should be clearer if the physical cell ID can be indicated</w:t>
      </w:r>
      <w:r w:rsidR="00D33441">
        <w:t xml:space="preserve"> explicitly</w:t>
      </w:r>
      <w:r w:rsidR="00003C42">
        <w:t xml:space="preserve"> in the measurement report</w:t>
      </w:r>
      <w:r w:rsidR="00A4352C">
        <w:t>.</w:t>
      </w:r>
    </w:p>
    <w:p w14:paraId="462BA59F" w14:textId="150FF423" w:rsidR="00B84E1D" w:rsidRPr="00A4352C" w:rsidRDefault="00A4352C" w:rsidP="00A4352C">
      <w:pPr>
        <w:rPr>
          <w:b/>
          <w:bCs/>
        </w:rPr>
      </w:pPr>
      <w:r w:rsidRPr="00A4352C">
        <w:rPr>
          <w:rFonts w:hint="eastAsia"/>
          <w:b/>
          <w:bCs/>
        </w:rPr>
        <w:t>P</w:t>
      </w:r>
      <w:r w:rsidRPr="00A4352C">
        <w:rPr>
          <w:b/>
          <w:bCs/>
        </w:rPr>
        <w:t>roposal</w:t>
      </w:r>
      <w:r w:rsidR="00C7285B">
        <w:rPr>
          <w:b/>
          <w:bCs/>
        </w:rPr>
        <w:t xml:space="preserve"> 1</w:t>
      </w:r>
      <w:r w:rsidRPr="00A4352C">
        <w:rPr>
          <w:b/>
          <w:bCs/>
        </w:rPr>
        <w:t>: The cell ID/index is indicated explicitly in the event triggered L1 MR. FFS whether PCI or cell index is used.</w:t>
      </w:r>
    </w:p>
    <w:p w14:paraId="38A0ED62" w14:textId="7C756E5A" w:rsidR="00A4352C" w:rsidRPr="00003C42" w:rsidRDefault="00A4352C" w:rsidP="004D6B9D">
      <w:pPr>
        <w:pStyle w:val="afa"/>
        <w:numPr>
          <w:ilvl w:val="0"/>
          <w:numId w:val="40"/>
        </w:numPr>
      </w:pPr>
      <w:r w:rsidRPr="008550F3">
        <w:rPr>
          <w:u w:val="single"/>
        </w:rPr>
        <w:t>RS index</w:t>
      </w:r>
      <w:r>
        <w:t xml:space="preserve">: </w:t>
      </w:r>
      <w:r w:rsidR="00003C42">
        <w:t>S</w:t>
      </w:r>
      <w:r w:rsidR="00003C42" w:rsidRPr="00003C42">
        <w:t xml:space="preserve">ince there is no </w:t>
      </w:r>
      <w:r w:rsidR="00D33441">
        <w:t>cross beams</w:t>
      </w:r>
      <w:r w:rsidR="00D33441" w:rsidRPr="00003C42">
        <w:t xml:space="preserve"> </w:t>
      </w:r>
      <w:r w:rsidR="00003C42" w:rsidRPr="00003C42">
        <w:t xml:space="preserve">measurement </w:t>
      </w:r>
      <w:r w:rsidR="00003C42">
        <w:t>in Rel-18 L1 MR</w:t>
      </w:r>
      <w:r w:rsidR="00003C42" w:rsidRPr="00003C42">
        <w:t>, the RS index can clearly indicate the measured resource.</w:t>
      </w:r>
      <w:r w:rsidR="00003C42" w:rsidRPr="00003C42">
        <w:rPr>
          <w:rFonts w:ascii="Roboto" w:hAnsi="Roboto"/>
        </w:rPr>
        <w:t xml:space="preserve"> However, for event triggered L1 MR, the measurement results may include results filtered from multiple resources in multiple MO</w:t>
      </w:r>
      <w:r w:rsidR="00003C42">
        <w:rPr>
          <w:rFonts w:ascii="Roboto" w:hAnsi="Roboto"/>
        </w:rPr>
        <w:t>,</w:t>
      </w:r>
      <w:r w:rsidR="00003C42" w:rsidRPr="00003C42">
        <w:rPr>
          <w:rFonts w:ascii="Roboto" w:hAnsi="Roboto"/>
        </w:rPr>
        <w:t xml:space="preserve"> </w:t>
      </w:r>
      <w:r w:rsidR="00003C42">
        <w:rPr>
          <w:rFonts w:ascii="Roboto" w:hAnsi="Roboto"/>
        </w:rPr>
        <w:t>and reporting RS index will make the report more complex</w:t>
      </w:r>
      <w:r w:rsidR="00715D35">
        <w:rPr>
          <w:rFonts w:ascii="Roboto" w:hAnsi="Roboto"/>
        </w:rPr>
        <w:t xml:space="preserve"> in this case</w:t>
      </w:r>
      <w:r w:rsidR="00003C42">
        <w:rPr>
          <w:rFonts w:ascii="Roboto" w:hAnsi="Roboto"/>
        </w:rPr>
        <w:t>. Therefore, RAN2 may discuss the following two options for t</w:t>
      </w:r>
      <w:r w:rsidR="00003C42" w:rsidRPr="00003C42">
        <w:rPr>
          <w:rFonts w:ascii="Roboto" w:hAnsi="Roboto"/>
        </w:rPr>
        <w:t>he level of detail</w:t>
      </w:r>
      <w:r w:rsidR="00003C42">
        <w:rPr>
          <w:rFonts w:ascii="Roboto" w:hAnsi="Roboto"/>
        </w:rPr>
        <w:t>s:</w:t>
      </w:r>
    </w:p>
    <w:p w14:paraId="7BB175EC" w14:textId="580E7223" w:rsidR="00003C42" w:rsidRDefault="00003C42" w:rsidP="00003C42">
      <w:pPr>
        <w:pStyle w:val="afa"/>
        <w:numPr>
          <w:ilvl w:val="1"/>
          <w:numId w:val="40"/>
        </w:numPr>
      </w:pPr>
      <w:r>
        <w:t>Option</w:t>
      </w:r>
      <w:r w:rsidR="004B4E20">
        <w:t xml:space="preserve"> </w:t>
      </w:r>
      <w:r>
        <w:t>1: Only cell index (or ID) is included. T</w:t>
      </w:r>
      <w:r w:rsidRPr="00003C42">
        <w:t xml:space="preserve">he UE reports </w:t>
      </w:r>
      <w:r w:rsidRPr="00D33441">
        <w:rPr>
          <w:u w:val="single"/>
        </w:rPr>
        <w:t xml:space="preserve">only one measurement quantity for each </w:t>
      </w:r>
      <w:r w:rsidR="004B4E20" w:rsidRPr="00D33441">
        <w:rPr>
          <w:u w:val="single"/>
        </w:rPr>
        <w:t xml:space="preserve">measured </w:t>
      </w:r>
      <w:r w:rsidRPr="00D33441">
        <w:rPr>
          <w:u w:val="single"/>
        </w:rPr>
        <w:t>cell</w:t>
      </w:r>
      <w:r w:rsidR="004B4E20" w:rsidRPr="00D33441">
        <w:rPr>
          <w:u w:val="single"/>
        </w:rPr>
        <w:t>s</w:t>
      </w:r>
      <w:r w:rsidRPr="00D33441">
        <w:rPr>
          <w:u w:val="single"/>
        </w:rPr>
        <w:t>, which represents the average radio link quality of this cell</w:t>
      </w:r>
      <w:r w:rsidRPr="00003C42">
        <w:t xml:space="preserve"> during the period</w:t>
      </w:r>
      <w:r>
        <w:t xml:space="preserve"> of event triggered L1 MR.</w:t>
      </w:r>
    </w:p>
    <w:p w14:paraId="6F9AE954" w14:textId="587D28C2" w:rsidR="00003C42" w:rsidRDefault="00003C42" w:rsidP="00003C42">
      <w:pPr>
        <w:pStyle w:val="afa"/>
        <w:numPr>
          <w:ilvl w:val="1"/>
          <w:numId w:val="40"/>
        </w:numPr>
      </w:pPr>
      <w:r w:rsidRPr="00003C42">
        <w:t>Option 2: The report includes both cell index and RS index</w:t>
      </w:r>
      <w:r>
        <w:t>es</w:t>
      </w:r>
      <w:r w:rsidRPr="00003C42">
        <w:t xml:space="preserve">. </w:t>
      </w:r>
      <w:r w:rsidR="00205768">
        <w:rPr>
          <w:rFonts w:hint="eastAsia"/>
        </w:rPr>
        <w:t>For</w:t>
      </w:r>
      <w:r w:rsidR="00205768">
        <w:t xml:space="preserve"> </w:t>
      </w:r>
      <w:r w:rsidR="00205768">
        <w:rPr>
          <w:rFonts w:hint="eastAsia"/>
        </w:rPr>
        <w:t>each</w:t>
      </w:r>
      <w:r w:rsidR="00205768">
        <w:t xml:space="preserve"> measured </w:t>
      </w:r>
      <w:r w:rsidR="00205768">
        <w:rPr>
          <w:rFonts w:hint="eastAsia"/>
        </w:rPr>
        <w:t>cell</w:t>
      </w:r>
      <w:r w:rsidR="00205768">
        <w:t>, t</w:t>
      </w:r>
      <w:r w:rsidR="004B4E20">
        <w:t>he UE reports</w:t>
      </w:r>
      <w:r w:rsidRPr="00003C42">
        <w:t xml:space="preserve"> a </w:t>
      </w:r>
      <w:r w:rsidRPr="00D33441">
        <w:rPr>
          <w:u w:val="single"/>
        </w:rPr>
        <w:t>matrix</w:t>
      </w:r>
      <w:r w:rsidR="004B4E20" w:rsidRPr="00D33441">
        <w:rPr>
          <w:u w:val="single"/>
        </w:rPr>
        <w:t xml:space="preserve"> </w:t>
      </w:r>
      <w:r w:rsidRPr="00D33441">
        <w:rPr>
          <w:u w:val="single"/>
        </w:rPr>
        <w:t xml:space="preserve">to record </w:t>
      </w:r>
      <w:r w:rsidR="00205768">
        <w:rPr>
          <w:u w:val="single"/>
        </w:rPr>
        <w:t xml:space="preserve">the values </w:t>
      </w:r>
      <w:r w:rsidRPr="00D33441">
        <w:rPr>
          <w:u w:val="single"/>
        </w:rPr>
        <w:t xml:space="preserve">of different RS indexes measured in different </w:t>
      </w:r>
      <w:r w:rsidR="004B4E20" w:rsidRPr="00D33441">
        <w:rPr>
          <w:rFonts w:hint="eastAsia"/>
          <w:u w:val="single"/>
        </w:rPr>
        <w:t>M</w:t>
      </w:r>
      <w:r w:rsidR="00205768">
        <w:rPr>
          <w:rFonts w:hint="eastAsia"/>
          <w:u w:val="single"/>
        </w:rPr>
        <w:t>O</w:t>
      </w:r>
      <w:r w:rsidR="004B4E20" w:rsidRPr="00D33441">
        <w:rPr>
          <w:rFonts w:hint="eastAsia"/>
          <w:u w:val="single"/>
        </w:rPr>
        <w:t>s</w:t>
      </w:r>
      <w:r w:rsidR="00205768">
        <w:rPr>
          <w:u w:val="single"/>
        </w:rPr>
        <w:t xml:space="preserve"> (RSs </w:t>
      </w:r>
      <w:r w:rsidR="00205768">
        <w:rPr>
          <w:rFonts w:hint="eastAsia"/>
          <w:u w:val="single"/>
        </w:rPr>
        <w:t>×</w:t>
      </w:r>
      <w:r w:rsidR="00205768">
        <w:rPr>
          <w:u w:val="single"/>
        </w:rPr>
        <w:t xml:space="preserve"> </w:t>
      </w:r>
      <w:r w:rsidR="00205768">
        <w:rPr>
          <w:rFonts w:hint="eastAsia"/>
          <w:u w:val="single"/>
        </w:rPr>
        <w:t>MOs</w:t>
      </w:r>
      <w:r w:rsidR="00205768">
        <w:rPr>
          <w:u w:val="single"/>
        </w:rPr>
        <w:t>)</w:t>
      </w:r>
      <w:r w:rsidR="004B4E20" w:rsidRPr="00D33441">
        <w:rPr>
          <w:u w:val="single"/>
        </w:rPr>
        <w:t xml:space="preserve"> </w:t>
      </w:r>
      <w:r w:rsidR="004B4E20">
        <w:t>during the period of event triggered L1 MR.</w:t>
      </w:r>
    </w:p>
    <w:p w14:paraId="408C06E4" w14:textId="526973DF" w:rsidR="004B4E20" w:rsidRDefault="004B4E20" w:rsidP="004B4E20">
      <w:r>
        <w:rPr>
          <w:rFonts w:hint="eastAsia"/>
        </w:rPr>
        <w:t>Considering</w:t>
      </w:r>
      <w:r>
        <w:t xml:space="preserve"> </w:t>
      </w:r>
      <w:r>
        <w:rPr>
          <w:rFonts w:hint="eastAsia"/>
        </w:rPr>
        <w:t>the</w:t>
      </w:r>
      <w:r>
        <w:t xml:space="preserve"> intention of this agenda</w:t>
      </w:r>
      <w:r>
        <w:rPr>
          <w:rFonts w:hint="eastAsia"/>
        </w:rPr>
        <w:t xml:space="preserve"> </w:t>
      </w:r>
      <w:r>
        <w:t xml:space="preserve">is to indicate the “event” to the network, </w:t>
      </w:r>
      <w:r w:rsidRPr="004B4E20">
        <w:t xml:space="preserve">it </w:t>
      </w:r>
      <w:r>
        <w:t>seems</w:t>
      </w:r>
      <w:r w:rsidRPr="004B4E20">
        <w:t xml:space="preserve"> more appropriate to allow the UE to</w:t>
      </w:r>
      <w:r w:rsidR="00E276E0">
        <w:t xml:space="preserve"> perform</w:t>
      </w:r>
      <w:r w:rsidRPr="004B4E20">
        <w:t xml:space="preserve"> measurement analysis and provide a comprehensive result.</w:t>
      </w:r>
      <w:r>
        <w:t xml:space="preserve"> This may also be more friendly to </w:t>
      </w:r>
      <w:r w:rsidRPr="004B4E20">
        <w:t>signalling overhead</w:t>
      </w:r>
      <w:r w:rsidR="00F64397">
        <w:t xml:space="preserve"> (to MAC-CE or UCI)</w:t>
      </w:r>
      <w:r w:rsidRPr="004B4E20">
        <w:t xml:space="preserve"> and latency</w:t>
      </w:r>
      <w:r>
        <w:t>. Therefore, we slightly prefer Option1.</w:t>
      </w:r>
    </w:p>
    <w:p w14:paraId="1E8BE208" w14:textId="7718A881" w:rsidR="004B4E20" w:rsidRPr="004B4E20" w:rsidRDefault="004B4E20" w:rsidP="004B4E20">
      <w:pPr>
        <w:rPr>
          <w:rFonts w:ascii="Roboto" w:hAnsi="Roboto"/>
          <w:b/>
          <w:bCs/>
        </w:rPr>
      </w:pPr>
      <w:r w:rsidRPr="004B4E20">
        <w:rPr>
          <w:rFonts w:hint="eastAsia"/>
          <w:b/>
          <w:bCs/>
        </w:rPr>
        <w:t>P</w:t>
      </w:r>
      <w:r w:rsidRPr="004B4E20">
        <w:rPr>
          <w:b/>
          <w:bCs/>
        </w:rPr>
        <w:t>roposal</w:t>
      </w:r>
      <w:r w:rsidR="00C7285B">
        <w:rPr>
          <w:b/>
          <w:bCs/>
        </w:rPr>
        <w:t xml:space="preserve"> 2</w:t>
      </w:r>
      <w:r w:rsidRPr="004B4E20">
        <w:rPr>
          <w:b/>
          <w:bCs/>
        </w:rPr>
        <w:t>: RAN2 to discuss</w:t>
      </w:r>
      <w:r w:rsidRPr="004B4E20">
        <w:rPr>
          <w:rFonts w:ascii="Roboto" w:hAnsi="Roboto"/>
          <w:b/>
          <w:bCs/>
        </w:rPr>
        <w:t xml:space="preserve"> the level of</w:t>
      </w:r>
      <w:r w:rsidR="00053C8C">
        <w:rPr>
          <w:rFonts w:ascii="Roboto" w:hAnsi="Roboto"/>
          <w:b/>
          <w:bCs/>
        </w:rPr>
        <w:t xml:space="preserve"> RS</w:t>
      </w:r>
      <w:r w:rsidRPr="004B4E20">
        <w:rPr>
          <w:rFonts w:ascii="Roboto" w:hAnsi="Roboto"/>
          <w:b/>
          <w:bCs/>
        </w:rPr>
        <w:t xml:space="preserve"> details in the </w:t>
      </w:r>
      <w:r w:rsidR="00D33441">
        <w:rPr>
          <w:rFonts w:ascii="Roboto" w:hAnsi="Roboto"/>
          <w:b/>
          <w:bCs/>
        </w:rPr>
        <w:t xml:space="preserve">report of </w:t>
      </w:r>
      <w:r w:rsidRPr="004B4E20">
        <w:rPr>
          <w:rFonts w:ascii="Roboto" w:hAnsi="Roboto"/>
          <w:b/>
          <w:bCs/>
        </w:rPr>
        <w:t>event triggered L1 MR:</w:t>
      </w:r>
    </w:p>
    <w:p w14:paraId="7B67AAFD" w14:textId="415BC62A" w:rsidR="004B4E20" w:rsidRPr="004B4E20" w:rsidRDefault="004B4E20" w:rsidP="004B4E20">
      <w:pPr>
        <w:pStyle w:val="afa"/>
        <w:numPr>
          <w:ilvl w:val="1"/>
          <w:numId w:val="41"/>
        </w:numPr>
        <w:textAlignment w:val="auto"/>
        <w:rPr>
          <w:b/>
          <w:bCs/>
        </w:rPr>
      </w:pPr>
      <w:r w:rsidRPr="004B4E20">
        <w:rPr>
          <w:b/>
          <w:bCs/>
        </w:rPr>
        <w:lastRenderedPageBreak/>
        <w:t xml:space="preserve">Option 1: Only cell index (or </w:t>
      </w:r>
      <w:r w:rsidR="00C7285B">
        <w:rPr>
          <w:b/>
          <w:bCs/>
        </w:rPr>
        <w:t>PCI</w:t>
      </w:r>
      <w:r w:rsidRPr="004B4E20">
        <w:rPr>
          <w:b/>
          <w:bCs/>
        </w:rPr>
        <w:t>) is included. The UE reports only one measurement quantity for each measured cells</w:t>
      </w:r>
      <w:r w:rsidR="003F5275" w:rsidRPr="003F5275">
        <w:rPr>
          <w:b/>
          <w:bCs/>
        </w:rPr>
        <w:t xml:space="preserve"> </w:t>
      </w:r>
      <w:r w:rsidR="003F5275">
        <w:rPr>
          <w:b/>
          <w:bCs/>
        </w:rPr>
        <w:t>during the period of event triggered L1 MR</w:t>
      </w:r>
      <w:r w:rsidRPr="004B4E20">
        <w:rPr>
          <w:b/>
          <w:bCs/>
        </w:rPr>
        <w:t>, which represents the average radio link quality of this cell.</w:t>
      </w:r>
    </w:p>
    <w:p w14:paraId="799224E3" w14:textId="0DB0E574" w:rsidR="004B4E20" w:rsidRPr="00205768" w:rsidRDefault="004B4E20" w:rsidP="004B4E20">
      <w:pPr>
        <w:pStyle w:val="afa"/>
        <w:numPr>
          <w:ilvl w:val="1"/>
          <w:numId w:val="41"/>
        </w:numPr>
        <w:textAlignment w:val="auto"/>
      </w:pPr>
      <w:r w:rsidRPr="004B4E20">
        <w:rPr>
          <w:b/>
          <w:bCs/>
        </w:rPr>
        <w:t xml:space="preserve">Option 2: </w:t>
      </w:r>
      <w:r w:rsidR="00205768" w:rsidRPr="00205768">
        <w:rPr>
          <w:b/>
          <w:bCs/>
        </w:rPr>
        <w:t>The report includes both cell index and RS indexes. For each measured cell, the UE reports a matrix to record the values of different RS indexes measured in different MOs (RSs × MOs) during the period of event triggered L1 MR.</w:t>
      </w:r>
    </w:p>
    <w:p w14:paraId="45B3E087" w14:textId="77777777" w:rsidR="00205768" w:rsidRPr="00B84E1D" w:rsidRDefault="00205768" w:rsidP="00205768">
      <w:pPr>
        <w:pStyle w:val="afa"/>
        <w:ind w:left="880"/>
        <w:textAlignment w:val="auto"/>
      </w:pPr>
    </w:p>
    <w:p w14:paraId="07DEEF46" w14:textId="77777777" w:rsidR="00205768" w:rsidRDefault="00205768" w:rsidP="00205768">
      <w:pPr>
        <w:pStyle w:val="afa"/>
        <w:numPr>
          <w:ilvl w:val="0"/>
          <w:numId w:val="43"/>
        </w:numPr>
        <w:textAlignment w:val="auto"/>
        <w:rPr>
          <w:u w:val="single"/>
        </w:rPr>
      </w:pPr>
      <w:r>
        <w:rPr>
          <w:u w:val="single"/>
        </w:rPr>
        <w:t>Triggering event type:</w:t>
      </w:r>
      <w:r>
        <w:t xml:space="preserve"> When multiple events are configured simultaneously, it could be beneficial to include the event type in the measurement report for network judgement if only a general quantity for the event is provided (i.e., option 1 in proposal 2). On the other hands, if the detailed RSs measurement results in each MO are included in the report (i.e., option 2 in proposal 2), there is no need to explicitly indicate the triggering event type, as the network can derive all the details, including the event type from the report.</w:t>
      </w:r>
    </w:p>
    <w:p w14:paraId="0E8E1046" w14:textId="22205BAA" w:rsidR="00205768" w:rsidRPr="00205768" w:rsidRDefault="00205768" w:rsidP="00205768">
      <w:pPr>
        <w:textAlignment w:val="auto"/>
        <w:rPr>
          <w:b/>
          <w:bCs/>
        </w:rPr>
      </w:pPr>
      <w:r w:rsidRPr="00205768">
        <w:rPr>
          <w:b/>
          <w:bCs/>
        </w:rPr>
        <w:t>Proposal</w:t>
      </w:r>
      <w:r w:rsidR="00C7285B">
        <w:rPr>
          <w:b/>
          <w:bCs/>
        </w:rPr>
        <w:t xml:space="preserve"> 3</w:t>
      </w:r>
      <w:r w:rsidRPr="00205768">
        <w:rPr>
          <w:b/>
          <w:bCs/>
        </w:rPr>
        <w:t>: The indication of the event type depends on the level of RS detail to be reported</w:t>
      </w:r>
      <w:r w:rsidR="00344ED6">
        <w:rPr>
          <w:b/>
          <w:bCs/>
        </w:rPr>
        <w:t>:</w:t>
      </w:r>
    </w:p>
    <w:p w14:paraId="7B12F79C" w14:textId="77777777" w:rsidR="00205768" w:rsidRDefault="00205768" w:rsidP="00205768">
      <w:pPr>
        <w:pStyle w:val="afa"/>
        <w:numPr>
          <w:ilvl w:val="1"/>
          <w:numId w:val="44"/>
        </w:numPr>
        <w:ind w:leftChars="142" w:left="707" w:hanging="423"/>
        <w:textAlignment w:val="auto"/>
        <w:rPr>
          <w:u w:val="single"/>
        </w:rPr>
      </w:pPr>
      <w:r>
        <w:rPr>
          <w:b/>
          <w:bCs/>
        </w:rPr>
        <w:t>If option 1 is adopted, the triggering event type is included in the report.</w:t>
      </w:r>
    </w:p>
    <w:p w14:paraId="21B225FE" w14:textId="77777777" w:rsidR="00205768" w:rsidRDefault="00205768" w:rsidP="00205768">
      <w:pPr>
        <w:pStyle w:val="afa"/>
        <w:numPr>
          <w:ilvl w:val="1"/>
          <w:numId w:val="44"/>
        </w:numPr>
        <w:ind w:leftChars="134" w:left="691" w:hanging="423"/>
        <w:textAlignment w:val="auto"/>
        <w:rPr>
          <w:u w:val="single"/>
        </w:rPr>
      </w:pPr>
      <w:r>
        <w:rPr>
          <w:b/>
          <w:bCs/>
        </w:rPr>
        <w:t>If option 2 is adopted, the triggering event type is not needed in the report.</w:t>
      </w:r>
    </w:p>
    <w:p w14:paraId="31BDCFD4" w14:textId="77777777" w:rsidR="00B84E1D" w:rsidRPr="00205768" w:rsidRDefault="00B84E1D" w:rsidP="00B84E1D">
      <w:pPr>
        <w:pStyle w:val="afa"/>
        <w:ind w:left="880"/>
        <w:textAlignment w:val="auto"/>
      </w:pPr>
    </w:p>
    <w:p w14:paraId="66048E7C" w14:textId="1A479C1A" w:rsidR="004B4E20" w:rsidRPr="00053C8C" w:rsidRDefault="008550F3" w:rsidP="004B4E20">
      <w:pPr>
        <w:pStyle w:val="afa"/>
        <w:numPr>
          <w:ilvl w:val="0"/>
          <w:numId w:val="40"/>
        </w:numPr>
        <w:rPr>
          <w:u w:val="single"/>
        </w:rPr>
      </w:pPr>
      <w:r w:rsidRPr="008550F3">
        <w:rPr>
          <w:u w:val="single"/>
        </w:rPr>
        <w:t>RS type</w:t>
      </w:r>
      <w:r w:rsidRPr="008550F3">
        <w:t>: RS type</w:t>
      </w:r>
      <w:r>
        <w:t xml:space="preserve"> is included in</w:t>
      </w:r>
      <w:r w:rsidR="00E276E0">
        <w:t xml:space="preserve"> the legacy L3 </w:t>
      </w:r>
      <w:r w:rsidR="00692BAB">
        <w:t>measurement report, and it is also included in the WID of Rel-19 mobility (CSI-RS measurement enhancement). Therefore, it should be agreeable to introduce the RS type to</w:t>
      </w:r>
      <w:r w:rsidR="00F64397">
        <w:t xml:space="preserve"> represent the measured resource RS in the report, since the measured value of different RS could be very different.</w:t>
      </w:r>
    </w:p>
    <w:p w14:paraId="07E15100" w14:textId="64CBB975" w:rsidR="00053C8C" w:rsidRPr="00F64397" w:rsidRDefault="00053C8C" w:rsidP="004B4E20">
      <w:pPr>
        <w:pStyle w:val="afa"/>
        <w:numPr>
          <w:ilvl w:val="0"/>
          <w:numId w:val="40"/>
        </w:numPr>
        <w:rPr>
          <w:u w:val="single"/>
        </w:rPr>
      </w:pPr>
      <w:proofErr w:type="spellStart"/>
      <w:r>
        <w:rPr>
          <w:u w:val="single"/>
        </w:rPr>
        <w:t>MeasQuantity</w:t>
      </w:r>
      <w:proofErr w:type="spellEnd"/>
      <w:r>
        <w:rPr>
          <w:u w:val="single"/>
        </w:rPr>
        <w:t>:</w:t>
      </w:r>
      <w:r w:rsidR="007862AF" w:rsidRPr="000D5A8F">
        <w:t xml:space="preserve"> </w:t>
      </w:r>
      <w:r w:rsidRPr="00053C8C">
        <w:t>The</w:t>
      </w:r>
      <w:r>
        <w:t xml:space="preserve"> measurement quantity</w:t>
      </w:r>
      <w:r w:rsidR="00C7285B">
        <w:t xml:space="preserve"> (e.g., RSRP</w:t>
      </w:r>
      <w:r w:rsidR="002F4141">
        <w:t>, RSRQ</w:t>
      </w:r>
      <w:r w:rsidR="00C7285B">
        <w:t>)</w:t>
      </w:r>
      <w:r>
        <w:t xml:space="preserve"> is needed to represent the link quality of the measured beam/cell.</w:t>
      </w:r>
      <w:r w:rsidR="007862AF">
        <w:t xml:space="preserve"> It is a must in the report.</w:t>
      </w:r>
      <w:r w:rsidR="002F4141">
        <w:t xml:space="preserve"> RAN1 may further discuss which measurement quantity to be used in event triggered L1 MR.</w:t>
      </w:r>
    </w:p>
    <w:p w14:paraId="52F2C5DF" w14:textId="0EA2DAD9" w:rsidR="00B84E1D" w:rsidRPr="00902DD8" w:rsidRDefault="00F64397" w:rsidP="00F64397">
      <w:pPr>
        <w:rPr>
          <w:b/>
          <w:bCs/>
        </w:rPr>
      </w:pPr>
      <w:r w:rsidRPr="00F64397">
        <w:rPr>
          <w:b/>
          <w:bCs/>
        </w:rPr>
        <w:t>Proposal</w:t>
      </w:r>
      <w:r w:rsidR="00C7285B">
        <w:rPr>
          <w:b/>
          <w:bCs/>
        </w:rPr>
        <w:t xml:space="preserve"> 4</w:t>
      </w:r>
      <w:r w:rsidRPr="00F64397">
        <w:rPr>
          <w:b/>
          <w:bCs/>
        </w:rPr>
        <w:t xml:space="preserve">: The RS type </w:t>
      </w:r>
      <w:r w:rsidR="00053C8C">
        <w:rPr>
          <w:b/>
          <w:bCs/>
        </w:rPr>
        <w:t xml:space="preserve">and </w:t>
      </w:r>
      <w:r w:rsidR="007862AF" w:rsidRPr="007862AF">
        <w:rPr>
          <w:b/>
          <w:bCs/>
        </w:rPr>
        <w:t>measurement quantity</w:t>
      </w:r>
      <w:r w:rsidR="00053C8C" w:rsidRPr="00F64397">
        <w:rPr>
          <w:b/>
          <w:bCs/>
        </w:rPr>
        <w:t xml:space="preserve"> </w:t>
      </w:r>
      <w:r w:rsidR="00053C8C">
        <w:rPr>
          <w:b/>
          <w:bCs/>
        </w:rPr>
        <w:t>are</w:t>
      </w:r>
      <w:r w:rsidRPr="00F64397">
        <w:rPr>
          <w:b/>
          <w:bCs/>
        </w:rPr>
        <w:t xml:space="preserve"> included in the report of event triggered L1 MR</w:t>
      </w:r>
      <w:r w:rsidR="00902DD8">
        <w:rPr>
          <w:b/>
          <w:bCs/>
        </w:rPr>
        <w:t>.</w:t>
      </w:r>
    </w:p>
    <w:bookmarkEnd w:id="2"/>
    <w:bookmarkEnd w:id="3"/>
    <w:bookmarkEnd w:id="4"/>
    <w:p w14:paraId="29E14F3D" w14:textId="707729DC" w:rsidR="00262B14" w:rsidRDefault="00262B14" w:rsidP="00B84E1D">
      <w:pPr>
        <w:pStyle w:val="2"/>
      </w:pPr>
      <w:r>
        <w:rPr>
          <w:rFonts w:hint="eastAsia"/>
        </w:rPr>
        <w:t>R</w:t>
      </w:r>
      <w:r>
        <w:t>eport container</w:t>
      </w:r>
    </w:p>
    <w:p w14:paraId="2B072AC5" w14:textId="4AF49071" w:rsidR="00262B14" w:rsidRPr="00262B14" w:rsidRDefault="00262B14" w:rsidP="00262B14">
      <w:r>
        <w:rPr>
          <w:rFonts w:hint="eastAsia"/>
        </w:rPr>
        <w:t>T</w:t>
      </w:r>
      <w:r>
        <w:t>his part is cover</w:t>
      </w:r>
      <w:r w:rsidR="00E61C46">
        <w:t>ed</w:t>
      </w:r>
      <w:r>
        <w:t xml:space="preserve"> in </w:t>
      </w:r>
      <w:r w:rsidR="000C5F83">
        <w:t>another</w:t>
      </w:r>
      <w:r>
        <w:t xml:space="preserve"> co-source paper</w:t>
      </w:r>
      <w:r w:rsidR="00312469">
        <w:t xml:space="preserve"> </w:t>
      </w:r>
      <w:r w:rsidR="00312469" w:rsidRPr="00312469">
        <w:t>R2-2406921</w:t>
      </w:r>
      <w:r>
        <w:t>. In short, we support MAC-CE way and</w:t>
      </w:r>
      <w:r w:rsidR="00E61C46">
        <w:t xml:space="preserve"> think the </w:t>
      </w:r>
      <w:r w:rsidR="00E61C46" w:rsidRPr="00E61C46">
        <w:t>solution could be independent for the</w:t>
      </w:r>
      <w:r w:rsidR="00902DD8">
        <w:t>se</w:t>
      </w:r>
      <w:r w:rsidR="00E61C46" w:rsidRPr="00E61C46">
        <w:t xml:space="preserve"> two WIDs</w:t>
      </w:r>
      <w:r w:rsidR="00902DD8">
        <w:t xml:space="preserve"> (with MIMO)</w:t>
      </w:r>
      <w:r w:rsidR="00E61C46" w:rsidRPr="00E61C46">
        <w:t xml:space="preserve"> considering different use cases and requirements.</w:t>
      </w:r>
    </w:p>
    <w:p w14:paraId="4D0E5694" w14:textId="0B3C7857" w:rsidR="00A407DC" w:rsidRDefault="00262B14" w:rsidP="00B84E1D">
      <w:pPr>
        <w:pStyle w:val="2"/>
      </w:pPr>
      <w:r>
        <w:rPr>
          <w:rFonts w:hint="eastAsia"/>
        </w:rPr>
        <w:t>Subsequent</w:t>
      </w:r>
      <w:r>
        <w:t xml:space="preserve"> </w:t>
      </w:r>
      <w:r>
        <w:rPr>
          <w:rFonts w:hint="eastAsia"/>
        </w:rPr>
        <w:t>reporting</w:t>
      </w:r>
    </w:p>
    <w:p w14:paraId="12251E31" w14:textId="3315D2CF" w:rsidR="00C804A5" w:rsidRDefault="00C67A10" w:rsidP="00262B14">
      <w:r w:rsidRPr="00C67A10">
        <w:t xml:space="preserve">Another </w:t>
      </w:r>
      <w:r w:rsidR="00902DD8">
        <w:t>discussion</w:t>
      </w:r>
      <w:r w:rsidR="00902DD8" w:rsidRPr="00C67A10">
        <w:t xml:space="preserve"> </w:t>
      </w:r>
      <w:r w:rsidRPr="00C67A10">
        <w:t xml:space="preserve">point is whether the event-triggered L1 measurement reporting is a one-shot report or if </w:t>
      </w:r>
      <w:r w:rsidR="00D42330" w:rsidRPr="00D42330">
        <w:t>multiple report</w:t>
      </w:r>
      <w:r w:rsidRPr="00C67A10">
        <w:t xml:space="preserve"> is introduced. We understand that this is more related to the design of the report container. If a MAC-CE based solution is adopted, reliability is ensured by the HARQ mechanism, and it seems unnecessary to introduce multiple reporting</w:t>
      </w:r>
      <w:r w:rsidR="00902DD8" w:rsidRPr="00902DD8">
        <w:t xml:space="preserve"> to address reliability concerns</w:t>
      </w:r>
      <w:r w:rsidR="00C804A5">
        <w:t xml:space="preserve">. </w:t>
      </w:r>
    </w:p>
    <w:p w14:paraId="5C3E3113" w14:textId="1BBF621C" w:rsidR="00C804A5" w:rsidRPr="00C804A5" w:rsidRDefault="00C804A5" w:rsidP="00262B14">
      <w:pPr>
        <w:rPr>
          <w:b/>
          <w:bCs/>
        </w:rPr>
      </w:pPr>
      <w:r w:rsidRPr="00C804A5">
        <w:rPr>
          <w:rFonts w:hint="eastAsia"/>
          <w:b/>
          <w:bCs/>
        </w:rPr>
        <w:t>Observation</w:t>
      </w:r>
      <w:r w:rsidR="00902DD8">
        <w:rPr>
          <w:b/>
          <w:bCs/>
        </w:rPr>
        <w:t xml:space="preserve"> 1</w:t>
      </w:r>
      <w:r w:rsidRPr="00C804A5">
        <w:rPr>
          <w:b/>
          <w:bCs/>
        </w:rPr>
        <w:t>: If MAC-CE way is adopted, there is no need to introduce retransmissions</w:t>
      </w:r>
      <w:r w:rsidR="006B41AD" w:rsidRPr="006B41AD">
        <w:rPr>
          <w:b/>
          <w:bCs/>
        </w:rPr>
        <w:t>/multiple reporting</w:t>
      </w:r>
      <w:r w:rsidRPr="00C804A5">
        <w:rPr>
          <w:b/>
          <w:bCs/>
        </w:rPr>
        <w:t xml:space="preserve"> to address reliability concerns.</w:t>
      </w:r>
    </w:p>
    <w:p w14:paraId="226F9A9B" w14:textId="4A8B0201" w:rsidR="00262B14" w:rsidRDefault="00C804A5" w:rsidP="00262B14">
      <w:r>
        <w:t>On the other hand,</w:t>
      </w:r>
      <w:r w:rsidR="00D42330">
        <w:t xml:space="preserve"> some may worry about the fluctuation for a single report. we understand</w:t>
      </w:r>
      <w:r w:rsidRPr="00C804A5">
        <w:t xml:space="preserve"> the fluctuation </w:t>
      </w:r>
      <w:r>
        <w:t xml:space="preserve">could be smoothed </w:t>
      </w:r>
      <w:r w:rsidR="00D42330" w:rsidRPr="00D42330">
        <w:t xml:space="preserve">by adjusting the parameters of hysteresis, TTT, and offset. The introduction of retransmissions or multiple reporting will not bring benefits but instead weaken the benefit of </w:t>
      </w:r>
      <w:r w:rsidR="00902DD8" w:rsidRPr="00D42330">
        <w:t>signalling</w:t>
      </w:r>
      <w:r w:rsidR="00D42330" w:rsidRPr="00D42330">
        <w:t xml:space="preserve"> overhead reduction achieved by the event-triggered </w:t>
      </w:r>
      <w:r w:rsidR="00902DD8">
        <w:t>mechanism</w:t>
      </w:r>
      <w:r w:rsidR="006B41AD" w:rsidRPr="006B41AD">
        <w:t>.</w:t>
      </w:r>
    </w:p>
    <w:p w14:paraId="20494914" w14:textId="290C6521" w:rsidR="006B41AD" w:rsidRDefault="006B41AD" w:rsidP="00262B14">
      <w:r>
        <w:rPr>
          <w:b/>
          <w:bCs/>
        </w:rPr>
        <w:t>Observation</w:t>
      </w:r>
      <w:r w:rsidR="00902DD8">
        <w:rPr>
          <w:b/>
          <w:bCs/>
        </w:rPr>
        <w:t xml:space="preserve"> 2</w:t>
      </w:r>
      <w:r>
        <w:rPr>
          <w:b/>
          <w:bCs/>
        </w:rPr>
        <w:t>: F</w:t>
      </w:r>
      <w:r w:rsidRPr="006B41AD">
        <w:rPr>
          <w:b/>
          <w:bCs/>
        </w:rPr>
        <w:t>luctuation</w:t>
      </w:r>
      <w:r w:rsidR="00D42330">
        <w:rPr>
          <w:b/>
          <w:bCs/>
        </w:rPr>
        <w:t xml:space="preserve"> concern</w:t>
      </w:r>
      <w:r>
        <w:rPr>
          <w:b/>
          <w:bCs/>
        </w:rPr>
        <w:t xml:space="preserve"> can be address by</w:t>
      </w:r>
      <w:r w:rsidRPr="006B41AD">
        <w:rPr>
          <w:b/>
          <w:bCs/>
        </w:rPr>
        <w:t xml:space="preserve"> </w:t>
      </w:r>
      <w:r w:rsidR="00D42330">
        <w:rPr>
          <w:b/>
          <w:bCs/>
        </w:rPr>
        <w:t>adjusting</w:t>
      </w:r>
      <w:r w:rsidRPr="006B41AD">
        <w:rPr>
          <w:b/>
          <w:bCs/>
        </w:rPr>
        <w:t xml:space="preserve"> the parameter of hysteresis, TTT and offset. </w:t>
      </w:r>
      <w:r w:rsidR="00D42330">
        <w:rPr>
          <w:b/>
          <w:bCs/>
        </w:rPr>
        <w:t>N</w:t>
      </w:r>
      <w:r>
        <w:rPr>
          <w:b/>
          <w:bCs/>
        </w:rPr>
        <w:t>o need to introduce retransmissions</w:t>
      </w:r>
      <w:r w:rsidR="00D42330">
        <w:rPr>
          <w:b/>
          <w:bCs/>
        </w:rPr>
        <w:t>/multiple reporting</w:t>
      </w:r>
      <w:r>
        <w:rPr>
          <w:b/>
          <w:bCs/>
        </w:rPr>
        <w:t xml:space="preserve"> to address this concern.</w:t>
      </w:r>
    </w:p>
    <w:p w14:paraId="047300F5" w14:textId="52D8D7D9" w:rsidR="00262B14" w:rsidRDefault="006B41AD" w:rsidP="00262B14">
      <w:r>
        <w:t>Therefore, we propose:</w:t>
      </w:r>
    </w:p>
    <w:p w14:paraId="5259E194" w14:textId="7173EFA4" w:rsidR="00E232D6" w:rsidRDefault="006B41AD" w:rsidP="00E232D6">
      <w:r w:rsidRPr="006B41AD">
        <w:rPr>
          <w:rFonts w:hint="eastAsia"/>
          <w:b/>
          <w:bCs/>
        </w:rPr>
        <w:t>P</w:t>
      </w:r>
      <w:r w:rsidRPr="006B41AD">
        <w:rPr>
          <w:b/>
          <w:bCs/>
        </w:rPr>
        <w:t>roposal</w:t>
      </w:r>
      <w:r w:rsidR="00902DD8">
        <w:rPr>
          <w:b/>
          <w:bCs/>
        </w:rPr>
        <w:t xml:space="preserve"> 5</w:t>
      </w:r>
      <w:r w:rsidRPr="006B41AD">
        <w:rPr>
          <w:b/>
          <w:bCs/>
        </w:rPr>
        <w:t xml:space="preserve">: </w:t>
      </w:r>
      <w:r>
        <w:rPr>
          <w:b/>
          <w:bCs/>
        </w:rPr>
        <w:t>T</w:t>
      </w:r>
      <w:r w:rsidRPr="006B41AD">
        <w:rPr>
          <w:b/>
          <w:bCs/>
        </w:rPr>
        <w:t xml:space="preserve">he event triggered L1 MR is a one-shot report. </w:t>
      </w:r>
      <w:r>
        <w:rPr>
          <w:b/>
          <w:bCs/>
        </w:rPr>
        <w:t>Multiple reporting</w:t>
      </w:r>
      <w:r w:rsidR="00C67A10">
        <w:rPr>
          <w:b/>
          <w:bCs/>
        </w:rPr>
        <w:t xml:space="preserve"> </w:t>
      </w:r>
      <w:r w:rsidR="00C67A10">
        <w:rPr>
          <w:rFonts w:hint="eastAsia"/>
          <w:b/>
          <w:bCs/>
        </w:rPr>
        <w:t>f</w:t>
      </w:r>
      <w:r w:rsidR="00C67A10">
        <w:rPr>
          <w:b/>
          <w:bCs/>
        </w:rPr>
        <w:t>or one trigger event</w:t>
      </w:r>
      <w:r>
        <w:rPr>
          <w:b/>
          <w:bCs/>
        </w:rPr>
        <w:t xml:space="preserve"> is not introduced. (This does not preclude</w:t>
      </w:r>
      <w:r w:rsidR="00262302">
        <w:rPr>
          <w:b/>
          <w:bCs/>
        </w:rPr>
        <w:t xml:space="preserve"> multiple report by</w:t>
      </w:r>
      <w:r>
        <w:rPr>
          <w:b/>
          <w:bCs/>
        </w:rPr>
        <w:t xml:space="preserve"> multiple </w:t>
      </w:r>
      <w:r w:rsidR="00C67A10">
        <w:rPr>
          <w:b/>
          <w:bCs/>
        </w:rPr>
        <w:t>trigger events configuration</w:t>
      </w:r>
      <w:r>
        <w:rPr>
          <w:b/>
          <w:bCs/>
        </w:rPr>
        <w:t>)</w:t>
      </w:r>
    </w:p>
    <w:p w14:paraId="0FDD9A38" w14:textId="66DC961C" w:rsidR="00E232D6" w:rsidRPr="00125D09" w:rsidRDefault="00E232D6" w:rsidP="00E232D6">
      <w:pPr>
        <w:pStyle w:val="1"/>
        <w:ind w:hanging="792"/>
      </w:pPr>
      <w:r>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168838FA" w14:textId="0AC81040" w:rsidR="00F71F6B" w:rsidRPr="00902DD8" w:rsidRDefault="00902DD8" w:rsidP="00F71F6B">
      <w:pPr>
        <w:rPr>
          <w:u w:val="single"/>
        </w:rPr>
      </w:pPr>
      <w:r w:rsidRPr="00902DD8">
        <w:rPr>
          <w:u w:val="single"/>
        </w:rPr>
        <w:t>Report content</w:t>
      </w:r>
    </w:p>
    <w:p w14:paraId="70F67833" w14:textId="19E98212" w:rsidR="00902DD8" w:rsidRDefault="00902DD8" w:rsidP="00F71F6B">
      <w:pPr>
        <w:rPr>
          <w:b/>
          <w:bCs/>
        </w:rPr>
      </w:pPr>
      <w:r>
        <w:rPr>
          <w:b/>
          <w:bCs/>
        </w:rPr>
        <w:t>Proposal 1: The cell ID/index is indicated explicitly in the event triggered L1 MR. FFS whether PCI or cell index is used.</w:t>
      </w:r>
    </w:p>
    <w:p w14:paraId="7DD31083" w14:textId="77777777" w:rsidR="00902DD8" w:rsidRDefault="00902DD8" w:rsidP="00902DD8">
      <w:pPr>
        <w:rPr>
          <w:rFonts w:ascii="Roboto" w:hAnsi="Roboto"/>
          <w:b/>
          <w:bCs/>
        </w:rPr>
      </w:pPr>
      <w:r>
        <w:rPr>
          <w:b/>
          <w:bCs/>
        </w:rPr>
        <w:t>Proposal 2: RAN2 to discuss</w:t>
      </w:r>
      <w:r>
        <w:rPr>
          <w:rFonts w:ascii="Roboto" w:hAnsi="Roboto"/>
          <w:b/>
          <w:bCs/>
        </w:rPr>
        <w:t xml:space="preserve"> the level of RS details in the report of event triggered L1 MR:</w:t>
      </w:r>
    </w:p>
    <w:p w14:paraId="252D60DC" w14:textId="77777777" w:rsidR="00902DD8" w:rsidRDefault="00902DD8" w:rsidP="00902DD8">
      <w:pPr>
        <w:pStyle w:val="afa"/>
        <w:numPr>
          <w:ilvl w:val="1"/>
          <w:numId w:val="43"/>
        </w:numPr>
        <w:textAlignment w:val="auto"/>
        <w:rPr>
          <w:b/>
          <w:bCs/>
        </w:rPr>
      </w:pPr>
      <w:r>
        <w:rPr>
          <w:b/>
          <w:bCs/>
        </w:rPr>
        <w:t>Option 1: Only cell index (or PCI) is included. The UE reports only one measurement quantity for each measured cells during the period of event triggered L1 MR, which represents the average radio link quality of this cell.</w:t>
      </w:r>
    </w:p>
    <w:p w14:paraId="58E9A7B8" w14:textId="77777777" w:rsidR="00902DD8" w:rsidRDefault="00902DD8" w:rsidP="00902DD8">
      <w:pPr>
        <w:pStyle w:val="afa"/>
        <w:numPr>
          <w:ilvl w:val="1"/>
          <w:numId w:val="43"/>
        </w:numPr>
        <w:textAlignment w:val="auto"/>
      </w:pPr>
      <w:r>
        <w:rPr>
          <w:b/>
          <w:bCs/>
        </w:rPr>
        <w:t>Option 2: The report includes both cell index and RS indexes. For each measured cell, the UE reports a matrix to record the values of different RS indexes measured in different MOs (RSs × MOs) during the period of event triggered L1 MR.</w:t>
      </w:r>
    </w:p>
    <w:p w14:paraId="68AFEE27" w14:textId="77777777" w:rsidR="00902DD8" w:rsidRDefault="00902DD8" w:rsidP="00902DD8">
      <w:pPr>
        <w:rPr>
          <w:b/>
          <w:bCs/>
        </w:rPr>
      </w:pPr>
      <w:r>
        <w:rPr>
          <w:b/>
          <w:bCs/>
        </w:rPr>
        <w:t>Proposal 3: The indication of the event type depends on the level of RS detail to be reported:</w:t>
      </w:r>
    </w:p>
    <w:p w14:paraId="4050478D" w14:textId="77777777" w:rsidR="00902DD8" w:rsidRDefault="00902DD8" w:rsidP="00902DD8">
      <w:pPr>
        <w:pStyle w:val="afa"/>
        <w:numPr>
          <w:ilvl w:val="1"/>
          <w:numId w:val="44"/>
        </w:numPr>
        <w:ind w:leftChars="142" w:left="707" w:hanging="423"/>
        <w:textAlignment w:val="auto"/>
        <w:rPr>
          <w:u w:val="single"/>
        </w:rPr>
      </w:pPr>
      <w:r>
        <w:rPr>
          <w:b/>
          <w:bCs/>
        </w:rPr>
        <w:t>If option 1 is adopted, the triggering event type is included in the report.</w:t>
      </w:r>
    </w:p>
    <w:p w14:paraId="3F97946A" w14:textId="791D81A8" w:rsidR="00902DD8" w:rsidRPr="00902DD8" w:rsidRDefault="00902DD8" w:rsidP="00902DD8">
      <w:pPr>
        <w:pStyle w:val="afa"/>
        <w:numPr>
          <w:ilvl w:val="1"/>
          <w:numId w:val="44"/>
        </w:numPr>
        <w:ind w:leftChars="134" w:left="691" w:hanging="423"/>
        <w:textAlignment w:val="auto"/>
        <w:rPr>
          <w:u w:val="single"/>
        </w:rPr>
      </w:pPr>
      <w:r>
        <w:rPr>
          <w:b/>
          <w:bCs/>
        </w:rPr>
        <w:t>If option 2 is adopted, the triggering event type is not needed in the report.</w:t>
      </w:r>
    </w:p>
    <w:p w14:paraId="3E9B9222" w14:textId="087A7E79" w:rsidR="00902DD8" w:rsidRPr="00902DD8" w:rsidRDefault="00902DD8" w:rsidP="00902DD8">
      <w:r>
        <w:rPr>
          <w:b/>
          <w:bCs/>
        </w:rPr>
        <w:t>Proposal 4: The RS type and measurement quantity are included in the report of event triggered L1 MR.</w:t>
      </w:r>
    </w:p>
    <w:p w14:paraId="7DB628CC" w14:textId="7955C8A1" w:rsidR="00902DD8" w:rsidRPr="00262302" w:rsidRDefault="00262302" w:rsidP="00F71F6B">
      <w:pPr>
        <w:rPr>
          <w:u w:val="single"/>
        </w:rPr>
      </w:pPr>
      <w:r w:rsidRPr="00262302">
        <w:rPr>
          <w:u w:val="single"/>
        </w:rPr>
        <w:t>Subsequent reporting</w:t>
      </w:r>
    </w:p>
    <w:p w14:paraId="2E6A0426" w14:textId="77777777" w:rsidR="00262302" w:rsidRPr="00262302" w:rsidRDefault="00262302" w:rsidP="00262302">
      <w:r w:rsidRPr="00262302">
        <w:t>Observation 1: If MAC-CE way is adopted, there is no need to introduce retransmissions/multiple reporting to address reliability concerns.</w:t>
      </w:r>
    </w:p>
    <w:p w14:paraId="54FF09B5" w14:textId="52EB1A1C" w:rsidR="00262302" w:rsidRDefault="00262302" w:rsidP="00262302">
      <w:r w:rsidRPr="00262302">
        <w:t>Observation 2: Fluctuation concern can be address by adjusting the parameter of hysteresis, TTT and offset. No need to introduce retransmissions/multiple reporting to address this concern.</w:t>
      </w:r>
    </w:p>
    <w:p w14:paraId="5A36307A" w14:textId="57244CAE" w:rsidR="00262302" w:rsidRPr="00420702" w:rsidRDefault="00262302" w:rsidP="00262302">
      <w:pPr>
        <w:rPr>
          <w:b/>
          <w:bCs/>
        </w:rPr>
      </w:pPr>
      <w:r>
        <w:rPr>
          <w:b/>
          <w:bCs/>
        </w:rPr>
        <w:t>Proposal 5: The event triggered L1 MR is a one-shot report. Multiple reporting for one trigger event is not introduced. (This does not preclude multiple report by multiple trigger events configuration)</w:t>
      </w:r>
    </w:p>
    <w:p w14:paraId="6B5B415F" w14:textId="3C153777" w:rsidR="00610923" w:rsidRPr="00125D09" w:rsidRDefault="00610923" w:rsidP="00AE14F3">
      <w:pPr>
        <w:pStyle w:val="1"/>
        <w:ind w:hanging="792"/>
      </w:pPr>
      <w:r w:rsidRPr="00125D09">
        <w:t>References</w:t>
      </w:r>
    </w:p>
    <w:p w14:paraId="4E217B4B" w14:textId="77777777" w:rsidR="005809C5" w:rsidRDefault="005809C5" w:rsidP="00E23D66">
      <w:pPr>
        <w:pStyle w:val="Reference"/>
        <w:numPr>
          <w:ilvl w:val="0"/>
          <w:numId w:val="15"/>
        </w:numPr>
        <w:textAlignment w:val="auto"/>
        <w:rPr>
          <w:rFonts w:cs="Arial"/>
        </w:rPr>
      </w:pPr>
      <w:bookmarkStart w:id="5" w:name="OLE_LINK34"/>
      <w:r w:rsidRPr="005809C5">
        <w:rPr>
          <w:rFonts w:cs="Arial"/>
        </w:rPr>
        <w:t xml:space="preserve">R2_126_R18 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Jeong)_</w:t>
      </w:r>
      <w:proofErr w:type="spellStart"/>
      <w:r w:rsidRPr="005809C5">
        <w:rPr>
          <w:rFonts w:cs="Arial"/>
        </w:rPr>
        <w:t>EoM</w:t>
      </w:r>
      <w:proofErr w:type="spellEnd"/>
    </w:p>
    <w:p w14:paraId="750A779E" w14:textId="75CCD558" w:rsidR="000C535F" w:rsidRPr="005809C5" w:rsidRDefault="000C535F" w:rsidP="00E23D66">
      <w:pPr>
        <w:pStyle w:val="Reference"/>
        <w:numPr>
          <w:ilvl w:val="0"/>
          <w:numId w:val="15"/>
        </w:numPr>
        <w:textAlignment w:val="auto"/>
        <w:rPr>
          <w:rFonts w:cs="Arial"/>
        </w:rPr>
      </w:pPr>
      <w:r w:rsidRPr="005809C5">
        <w:rPr>
          <w:rFonts w:cs="Arial"/>
        </w:rPr>
        <w:t xml:space="preserve">R2_125bis_SL_R19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Jeong)_</w:t>
      </w:r>
      <w:proofErr w:type="spellStart"/>
      <w:r w:rsidRPr="005809C5">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bookmarkEnd w:id="5"/>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B142A5C"/>
    <w:multiLevelType w:val="hybridMultilevel"/>
    <w:tmpl w:val="7E26F9BA"/>
    <w:lvl w:ilvl="0" w:tplc="0409000F">
      <w:start w:val="1"/>
      <w:numFmt w:val="decimal"/>
      <w:lvlText w:val="%1."/>
      <w:lvlJc w:val="left"/>
      <w:pPr>
        <w:ind w:left="542" w:hanging="440"/>
      </w:p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3"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64ADE"/>
    <w:multiLevelType w:val="hybridMultilevel"/>
    <w:tmpl w:val="93386BCE"/>
    <w:lvl w:ilvl="0" w:tplc="E63889B2">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6"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805ACD"/>
    <w:multiLevelType w:val="hybridMultilevel"/>
    <w:tmpl w:val="2DC66292"/>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A461FF3"/>
    <w:multiLevelType w:val="hybridMultilevel"/>
    <w:tmpl w:val="E696A6EC"/>
    <w:lvl w:ilvl="0" w:tplc="B378A9BA">
      <w:start w:val="1"/>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45A3B6A"/>
    <w:multiLevelType w:val="hybridMultilevel"/>
    <w:tmpl w:val="10EEFA74"/>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2360F84"/>
    <w:multiLevelType w:val="hybridMultilevel"/>
    <w:tmpl w:val="AB36C114"/>
    <w:lvl w:ilvl="0" w:tplc="FFFFFFFF">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1"/>
  </w:num>
  <w:num w:numId="3" w16cid:durableId="1953395335">
    <w:abstractNumId w:val="12"/>
  </w:num>
  <w:num w:numId="4" w16cid:durableId="2065714941">
    <w:abstractNumId w:val="14"/>
  </w:num>
  <w:num w:numId="5" w16cid:durableId="1377702009">
    <w:abstractNumId w:val="8"/>
  </w:num>
  <w:num w:numId="6" w16cid:durableId="438909715">
    <w:abstractNumId w:val="17"/>
  </w:num>
  <w:num w:numId="7" w16cid:durableId="16661354">
    <w:abstractNumId w:val="26"/>
  </w:num>
  <w:num w:numId="8" w16cid:durableId="1090807287">
    <w:abstractNumId w:val="9"/>
  </w:num>
  <w:num w:numId="9" w16cid:durableId="1203053534">
    <w:abstractNumId w:val="22"/>
  </w:num>
  <w:num w:numId="10" w16cid:durableId="281545719">
    <w:abstractNumId w:val="33"/>
  </w:num>
  <w:num w:numId="11" w16cid:durableId="459420413">
    <w:abstractNumId w:val="24"/>
  </w:num>
  <w:num w:numId="12" w16cid:durableId="314529867">
    <w:abstractNumId w:val="31"/>
  </w:num>
  <w:num w:numId="13" w16cid:durableId="94133385">
    <w:abstractNumId w:val="23"/>
  </w:num>
  <w:num w:numId="14" w16cid:durableId="1187518846">
    <w:abstractNumId w:val="13"/>
  </w:num>
  <w:num w:numId="15" w16cid:durableId="454561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4"/>
  </w:num>
  <w:num w:numId="17" w16cid:durableId="774591516">
    <w:abstractNumId w:val="16"/>
  </w:num>
  <w:num w:numId="18" w16cid:durableId="1119881046">
    <w:abstractNumId w:val="5"/>
  </w:num>
  <w:num w:numId="19" w16cid:durableId="333073574">
    <w:abstractNumId w:val="7"/>
  </w:num>
  <w:num w:numId="20" w16cid:durableId="837772147">
    <w:abstractNumId w:val="3"/>
  </w:num>
  <w:num w:numId="21" w16cid:durableId="1456022428">
    <w:abstractNumId w:val="20"/>
  </w:num>
  <w:num w:numId="22" w16cid:durableId="1678384059">
    <w:abstractNumId w:val="1"/>
  </w:num>
  <w:num w:numId="23" w16cid:durableId="1359086533">
    <w:abstractNumId w:val="15"/>
  </w:num>
  <w:num w:numId="24" w16cid:durableId="144250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5"/>
  </w:num>
  <w:num w:numId="26" w16cid:durableId="1980568682">
    <w:abstractNumId w:val="30"/>
  </w:num>
  <w:num w:numId="27" w16cid:durableId="1689982779">
    <w:abstractNumId w:val="28"/>
  </w:num>
  <w:num w:numId="28" w16cid:durableId="870144146">
    <w:abstractNumId w:val="10"/>
  </w:num>
  <w:num w:numId="29" w16cid:durableId="811099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1"/>
  </w:num>
  <w:num w:numId="31" w16cid:durableId="1459760711">
    <w:abstractNumId w:val="27"/>
  </w:num>
  <w:num w:numId="32" w16cid:durableId="31078687">
    <w:abstractNumId w:val="15"/>
  </w:num>
  <w:num w:numId="33" w16cid:durableId="4224562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3171173">
    <w:abstractNumId w:val="25"/>
  </w:num>
  <w:num w:numId="35" w16cid:durableId="630134511">
    <w:abstractNumId w:val="18"/>
  </w:num>
  <w:num w:numId="36" w16cid:durableId="20341844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1678730">
    <w:abstractNumId w:val="19"/>
  </w:num>
  <w:num w:numId="38" w16cid:durableId="162163378">
    <w:abstractNumId w:val="2"/>
  </w:num>
  <w:num w:numId="39" w16cid:durableId="772752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096219">
    <w:abstractNumId w:val="6"/>
  </w:num>
  <w:num w:numId="41" w16cid:durableId="38170170">
    <w:abstractNumId w:val="6"/>
  </w:num>
  <w:num w:numId="42" w16cid:durableId="2142650060">
    <w:abstractNumId w:val="29"/>
  </w:num>
  <w:num w:numId="43" w16cid:durableId="551382349">
    <w:abstractNumId w:val="6"/>
  </w:num>
  <w:num w:numId="44" w16cid:durableId="164287882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82"/>
    <w:rsid w:val="004B69AD"/>
    <w:rsid w:val="004B724E"/>
    <w:rsid w:val="004B73B1"/>
    <w:rsid w:val="004B7C0C"/>
    <w:rsid w:val="004C0240"/>
    <w:rsid w:val="004C060A"/>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8D"/>
    <w:rsid w:val="00642360"/>
    <w:rsid w:val="00643475"/>
    <w:rsid w:val="0064383B"/>
    <w:rsid w:val="0064396A"/>
    <w:rsid w:val="006445A4"/>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286B"/>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DD8"/>
    <w:rsid w:val="0090336B"/>
    <w:rsid w:val="00903CC5"/>
    <w:rsid w:val="00903D98"/>
    <w:rsid w:val="00904524"/>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7874"/>
    <w:rsid w:val="00C67A10"/>
    <w:rsid w:val="00C67FD8"/>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B7F49"/>
    <w:rsid w:val="00DC01A8"/>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629</TotalTime>
  <Pages>3</Pages>
  <Words>1332</Words>
  <Characters>6854</Characters>
  <Application>Microsoft Office Word</Application>
  <DocSecurity>0</DocSecurity>
  <Lines>228</Lines>
  <Paragraphs>141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20</cp:revision>
  <cp:lastPrinted>2016-11-04T09:26:00Z</cp:lastPrinted>
  <dcterms:created xsi:type="dcterms:W3CDTF">2024-07-26T02:08:00Z</dcterms:created>
  <dcterms:modified xsi:type="dcterms:W3CDTF">2024-08-09T07:50:00Z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